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Identificación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las obligaciones fiscales de las empresas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con especial referencia a las empresas canarias, distinguiendo entre la naturaleza de la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fiscalidad directa e indirecta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30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200775" cy="362426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62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2.- Explicación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las principales figuras de imposición directa e indirecta que afectan a las empresas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(hechos imponibles, tipos impositivos y principales características): el Impuesto de Sociedades, el Impuesto sobre la Renta de las Personas Físicas, y el Impuesto sobre el Valor Añadido o el Impuesto General Indirecto Canario, resaltando las diferencias entre los dos últimos.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IS (impuesto de sociedades)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85725</wp:posOffset>
            </wp:positionV>
            <wp:extent cx="6200775" cy="1338263"/>
            <wp:effectExtent b="25400" l="25400" r="25400" t="25400"/>
            <wp:wrapSquare wrapText="bothSides" distB="57150" distT="57150" distL="57150" distR="571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338263"/>
                    </a:xfrm>
                    <a:prstGeom prst="rect"/>
                    <a:ln w="25400">
                      <a:solidFill>
                        <a:srgbClr val="4A86E8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IRPF (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Impuesto sobre la Renta de las Personas Físicas)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253163" cy="676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5872163" cy="21812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IVA (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Impuesto sobre el valor añadido)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</w:rPr>
        <w:drawing>
          <wp:inline distB="114300" distT="114300" distL="114300" distR="114300">
            <wp:extent cx="5434013" cy="324802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  <w:t xml:space="preserve">FISCALIDAD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